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7940A" w14:textId="77777777" w:rsidR="00B65122"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55B7940B" w14:textId="77777777" w:rsidR="00B65122"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5B7940C" w14:textId="77777777" w:rsidR="00B65122" w:rsidRDefault="00000000">
      <w:pPr>
        <w:jc w:val="center"/>
        <w:rPr>
          <w:rFonts w:ascii="Times New Roman" w:hAnsi="Times New Roman" w:cs="Times New Roman"/>
          <w:b/>
          <w:sz w:val="24"/>
          <w:szCs w:val="24"/>
          <w:lang w:val="lt-LT"/>
        </w:rPr>
      </w:pPr>
      <w:r>
        <w:rPr>
          <w:rFonts w:ascii="Times New Roman" w:hAnsi="Times New Roman" w:cs="Times New Roman"/>
          <w:b/>
          <w:sz w:val="24"/>
          <w:szCs w:val="24"/>
          <w:lang w:val="lt-LT"/>
        </w:rPr>
        <w:t xml:space="preserve">DĖL </w:t>
      </w:r>
      <w:bookmarkStart w:id="0" w:name="_Hlk115447929"/>
      <w:r>
        <w:rPr>
          <w:rFonts w:ascii="Times New Roman" w:hAnsi="Times New Roman" w:cs="Times New Roman"/>
          <w:b/>
          <w:sz w:val="24"/>
          <w:szCs w:val="24"/>
          <w:lang w:val="lt-LT"/>
        </w:rPr>
        <w:t>TEIKIMO IŠNUOMOTI ATVIRO AUKCIONO BŪDU KITOS PASKIRTIES VALSTYBINĖS ŽEMĖS SKLYPĄ</w:t>
      </w:r>
      <w:bookmarkEnd w:id="0"/>
      <w:r>
        <w:rPr>
          <w:rFonts w:ascii="Times New Roman" w:hAnsi="Times New Roman" w:cs="Times New Roman"/>
          <w:b/>
          <w:sz w:val="24"/>
          <w:szCs w:val="24"/>
          <w:lang w:val="lt-LT"/>
        </w:rPr>
        <w:t xml:space="preserve">, ESANTĮ </w:t>
      </w:r>
      <w:r>
        <w:rPr>
          <w:rFonts w:ascii="Times New Roman" w:hAnsi="Times New Roman" w:cs="Times New Roman"/>
          <w:b/>
          <w:sz w:val="24"/>
          <w:szCs w:val="24"/>
        </w:rPr>
        <w:t>LIEPŲ G. 13F, MOSĖDŽIO MIESTELYJE, SKUODO RAJONO SAVIVALDYBĖJE</w:t>
      </w:r>
    </w:p>
    <w:p w14:paraId="55B7940D" w14:textId="77777777" w:rsidR="00B65122" w:rsidRDefault="00B65122">
      <w:pPr>
        <w:spacing w:after="0" w:line="240" w:lineRule="auto"/>
        <w:jc w:val="center"/>
        <w:rPr>
          <w:rFonts w:ascii="Times New Roman" w:hAnsi="Times New Roman" w:cs="Times New Roman"/>
          <w:b/>
          <w:caps/>
          <w:sz w:val="24"/>
          <w:szCs w:val="24"/>
        </w:rPr>
      </w:pPr>
    </w:p>
    <w:p w14:paraId="55B7940E" w14:textId="5B361EF2" w:rsidR="00B65122"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 balandžio</w:t>
      </w:r>
      <w:r w:rsidR="00DC5547">
        <w:rPr>
          <w:rFonts w:ascii="Times New Roman" w:eastAsia="Times New Roman" w:hAnsi="Times New Roman" w:cs="Times New Roman"/>
          <w:bCs/>
          <w:sz w:val="24"/>
          <w:szCs w:val="24"/>
          <w:lang w:val="lt-LT" w:eastAsia="ja-JP"/>
        </w:rPr>
        <w:t xml:space="preserve"> 9 </w:t>
      </w:r>
      <w:r>
        <w:rPr>
          <w:rFonts w:ascii="Times New Roman" w:eastAsia="Times New Roman" w:hAnsi="Times New Roman" w:cs="Times New Roman"/>
          <w:bCs/>
          <w:sz w:val="24"/>
          <w:szCs w:val="24"/>
          <w:lang w:val="lt-LT" w:eastAsia="ja-JP"/>
        </w:rPr>
        <w:t>d. Nr. T10-</w:t>
      </w:r>
      <w:r w:rsidR="00DC5547">
        <w:rPr>
          <w:rFonts w:ascii="Times New Roman" w:eastAsia="Times New Roman" w:hAnsi="Times New Roman" w:cs="Times New Roman"/>
          <w:bCs/>
          <w:sz w:val="24"/>
          <w:szCs w:val="24"/>
          <w:lang w:val="lt-LT" w:eastAsia="ja-JP"/>
        </w:rPr>
        <w:t>107</w:t>
      </w:r>
    </w:p>
    <w:p w14:paraId="55B7940F" w14:textId="77777777" w:rsidR="00B65122"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55B79410" w14:textId="77777777" w:rsidR="00B65122" w:rsidRDefault="00B65122">
      <w:pPr>
        <w:spacing w:after="0" w:line="240" w:lineRule="auto"/>
        <w:rPr>
          <w:rFonts w:ascii="Times New Roman" w:eastAsia="Times New Roman" w:hAnsi="Times New Roman" w:cs="Times New Roman"/>
          <w:bCs/>
          <w:sz w:val="24"/>
          <w:szCs w:val="24"/>
          <w:lang w:val="lt-LT" w:eastAsia="ja-JP"/>
        </w:rPr>
      </w:pPr>
    </w:p>
    <w:p w14:paraId="55B79411" w14:textId="77777777" w:rsidR="00B65122"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55B79412" w14:textId="77777777" w:rsidR="00B65122"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tikslas </w:t>
      </w:r>
      <w:bookmarkStart w:id="1" w:name="_Hlk157084582"/>
      <w:r>
        <w:rPr>
          <w:rFonts w:ascii="Times New Roman" w:hAnsi="Times New Roman" w:cs="Times New Roman"/>
          <w:bCs/>
          <w:sz w:val="24"/>
          <w:szCs w:val="24"/>
          <w:lang w:val="lt-LT"/>
        </w:rPr>
        <w:t xml:space="preserve">– </w:t>
      </w:r>
      <w:bookmarkEnd w:id="1"/>
      <w:r>
        <w:rPr>
          <w:rFonts w:ascii="Times New Roman" w:hAnsi="Times New Roman" w:cs="Times New Roman"/>
          <w:sz w:val="24"/>
          <w:szCs w:val="24"/>
          <w:lang w:val="lt-LT"/>
        </w:rPr>
        <w:t xml:space="preserve">Teikti </w:t>
      </w:r>
      <w:r>
        <w:rPr>
          <w:rFonts w:ascii="Times New Roman" w:hAnsi="Times New Roman" w:cs="Times New Roman"/>
          <w:color w:val="000000"/>
          <w:sz w:val="24"/>
          <w:szCs w:val="24"/>
          <w:lang w:val="lt-LT"/>
        </w:rPr>
        <w:t>išnuomoti atvirojo aukciono būdu</w:t>
      </w:r>
      <w:r>
        <w:rPr>
          <w:rFonts w:ascii="Times New Roman" w:hAnsi="Times New Roman" w:cs="Times New Roman"/>
          <w:sz w:val="24"/>
          <w:szCs w:val="24"/>
          <w:lang w:val="lt-LT"/>
        </w:rPr>
        <w:t xml:space="preserve"> Skuodo rajono savivaldybės patikėjimo teise valdomą 0,1833 ha ploto kitos paskirties valstybinės žemės sklypą (unikalus Nr. 4400-6447-3663, kadastro Nr. 7527/0007:477), esantį Liepų g. 13F, Mosėdžio miestelyje, Skuodo rajono savivaldybėje (toliau – Žemės sklypas), patvirtinti Žemės sklypo pradinį metinį žemės nuomos mokestį, nustatyti Žemės sklypo nuomos sutarties sąlygas.</w:t>
      </w:r>
    </w:p>
    <w:p w14:paraId="55B79413" w14:textId="77777777" w:rsidR="00B65122" w:rsidRDefault="00B65122">
      <w:pPr>
        <w:pStyle w:val="Sraopastraipa"/>
        <w:spacing w:after="0" w:line="240" w:lineRule="auto"/>
        <w:ind w:left="0" w:firstLine="1247"/>
        <w:jc w:val="both"/>
        <w:rPr>
          <w:rFonts w:ascii="Times New Roman" w:hAnsi="Times New Roman" w:cs="Times New Roman"/>
          <w:b/>
          <w:sz w:val="24"/>
          <w:szCs w:val="24"/>
          <w:lang w:val="lt-LT"/>
        </w:rPr>
      </w:pPr>
    </w:p>
    <w:p w14:paraId="55B79414" w14:textId="77777777" w:rsidR="00B65122" w:rsidRDefault="00000000">
      <w:pPr>
        <w:spacing w:after="0" w:line="240" w:lineRule="auto"/>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55B79415" w14:textId="77777777" w:rsidR="00B65122"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kitos paskirties  Žemės sklypą,</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kurio naudojimo būdas – pramonės ir sandėliavimo objektų teritorijos.</w:t>
      </w:r>
    </w:p>
    <w:p w14:paraId="55B79416" w14:textId="77777777" w:rsidR="00B65122" w:rsidRDefault="0000000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55B79417" w14:textId="77777777" w:rsidR="00B65122" w:rsidRDefault="0000000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5B79418" w14:textId="77777777" w:rsidR="00B65122" w:rsidRDefault="0000000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ŽĮ 9 straipsnio 1 dalies 1 punkte įvardinta, kad  Valstybinės žemės sklypus įstatymų ir kitų teisės aktų nustatyta tvarka išnuomoja  </w:t>
      </w:r>
      <w:r>
        <w:rPr>
          <w:rFonts w:ascii="Times New Roman" w:hAnsi="Times New Roman" w:cs="Times New Roman"/>
          <w:sz w:val="24"/>
          <w:szCs w:val="24"/>
          <w:shd w:val="clear" w:color="auto" w:fill="FFFFFF"/>
          <w:lang w:val="lt-LT"/>
        </w:rPr>
        <w:t>savivaldybių tarybos – valstybinės žemės sklypus, perduotus patikėjimo teise savivaldybėms. Sprendimą teikti išnuomoti valstybinės žemės sklypą priima savivaldybės taryba, o valstybinės žemės nuomos sutartį sudaro meras arba jo įgaliotas savivaldybės administracijos direktorius;</w:t>
      </w:r>
    </w:p>
    <w:p w14:paraId="55B79419" w14:textId="77777777" w:rsidR="00B65122" w:rsidRDefault="0000000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ŽĮ 9 straipsnio 3 dalyje  nurodyta, kad valstybinės žemės nuomos terminas nustatomas pagal valstybinės žemės sklype numatomų statyti ir eksploatuoti statinių ar įrenginių  ekonomiškai pagrįstą naudojimo trukmę. Valstybinės žemės nuomos termino nustatymo motyvai turi būti išdėstyti sprendime išnuomoti valstybinės žemės sklypą.</w:t>
      </w:r>
    </w:p>
    <w:p w14:paraId="55B7941A" w14:textId="77777777" w:rsidR="00B65122"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 (toliau – LRV-N), 91</w:t>
      </w:r>
      <w:r>
        <w:rPr>
          <w:rFonts w:ascii="Times New Roman" w:hAnsi="Times New Roman" w:cs="Times New Roman"/>
          <w:sz w:val="24"/>
          <w:szCs w:val="24"/>
          <w:lang w:val="lt-LT"/>
        </w:rPr>
        <w:t xml:space="preserve"> punkte nurodyta, kad v</w:t>
      </w:r>
      <w:r>
        <w:rPr>
          <w:rFonts w:ascii="Times New Roman" w:hAnsi="Times New Roman" w:cs="Times New Roman"/>
          <w:color w:val="000000"/>
          <w:sz w:val="24"/>
          <w:szCs w:val="24"/>
          <w:lang w:val="lt-LT"/>
        </w:rPr>
        <w:t xml:space="preserve">alstybinės žemės patikėtinis priima sprendimą teikti patikėjimo teise valdomus aukciono objektus išnuomoti aukcione. Šiame valstybinės žemės sklypo patikėtinio sprendime įrašoma ir informacija apie nuomojamą aukciono objektą ir pasiūlymai dėl aukciono sąlygų. 92 punkte </w:t>
      </w:r>
      <w:r>
        <w:rPr>
          <w:rFonts w:ascii="Times New Roman" w:hAnsi="Times New Roman" w:cs="Times New Roman"/>
          <w:sz w:val="24"/>
          <w:szCs w:val="24"/>
          <w:lang w:val="lt-LT"/>
        </w:rPr>
        <w:t xml:space="preserve">nurodyta, kad  valstybinės žemės patikėtinis, prieš priimdamas Taisyklių 91 punkte nurodytą sprendimą, pagal savivaldybės tarybos nustatytą žemės nuomos mokesčio tarifą apskaičiuoja pradinį metinio žemės nuomos mokestį. Taisyklių 93 punkte nurodyta, kad taisyklių 91 punkte nurodytame sprendime teikti aukciono objektą išnuomoti aukcione nurodomas aukciono objekto nuomos terminas, kuris nustatomas atsižvelgiant į </w:t>
      </w:r>
      <w:r>
        <w:rPr>
          <w:rFonts w:ascii="Times New Roman" w:hAnsi="Times New Roman" w:cs="Times New Roman"/>
          <w:color w:val="000000"/>
          <w:sz w:val="24"/>
          <w:szCs w:val="24"/>
          <w:lang w:val="lt-LT"/>
        </w:rPr>
        <w:t>Žemės įstatymo 9 straipsnio 3 dalies</w:t>
      </w:r>
      <w:r>
        <w:rPr>
          <w:rFonts w:ascii="Times New Roman" w:hAnsi="Times New Roman" w:cs="Times New Roman"/>
          <w:sz w:val="24"/>
          <w:szCs w:val="24"/>
          <w:lang w:val="lt-LT"/>
        </w:rPr>
        <w:t xml:space="preserve"> reikalavimus, jeigu aukciono objektas išnuomojamas statinių statybai bei reikalavimas pradėti vykdyti statinių statybą per 5 metus nuo aukciono objekto nuomos sutarties įregistravimo dienos Nekilnojamojo turto registre.  </w:t>
      </w:r>
    </w:p>
    <w:p w14:paraId="55B7941B" w14:textId="77777777" w:rsidR="00B65122" w:rsidRDefault="00000000">
      <w:pPr>
        <w:widowControl w:val="0"/>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iCs/>
          <w:sz w:val="24"/>
          <w:szCs w:val="24"/>
          <w:lang w:val="lt-LT"/>
        </w:rPr>
        <w:t xml:space="preserve">Valstybinės žemės sklypų pardavimo ir nuomos aukcionų organizavimo </w:t>
      </w:r>
      <w:r>
        <w:rPr>
          <w:rFonts w:ascii="Times New Roman" w:hAnsi="Times New Roman" w:cs="Times New Roman"/>
          <w:bCs/>
          <w:sz w:val="24"/>
          <w:szCs w:val="24"/>
          <w:lang w:val="lt-LT"/>
        </w:rPr>
        <w:t xml:space="preserve">taisyklių, patvirtintų Lietuvos Respublikos Vyriausybės </w:t>
      </w:r>
      <w:r>
        <w:rPr>
          <w:rFonts w:ascii="Times New Roman" w:hAnsi="Times New Roman" w:cs="Times New Roman"/>
          <w:sz w:val="24"/>
          <w:szCs w:val="24"/>
          <w:lang w:val="lt-LT"/>
        </w:rPr>
        <w:t>2014 m. kovo 19 d. nutarimu Nr. 261 „Dėl Valstybinės žemės sklypų pardavimo ir nuomos aukcionų organizavimo taisyklių patvirtinimo</w:t>
      </w:r>
      <w:r>
        <w:rPr>
          <w:rFonts w:ascii="Times New Roman" w:hAnsi="Times New Roman" w:cs="Times New Roman"/>
          <w:sz w:val="24"/>
          <w:szCs w:val="24"/>
          <w:lang w:val="lt-LT" w:eastAsia="lt-LT"/>
        </w:rPr>
        <w:t xml:space="preserve">“, 7 punkte pažymėta, </w:t>
      </w:r>
      <w:r>
        <w:rPr>
          <w:rFonts w:ascii="Times New Roman" w:hAnsi="Times New Roman" w:cs="Times New Roman"/>
          <w:color w:val="000000"/>
          <w:sz w:val="24"/>
          <w:szCs w:val="24"/>
          <w:lang w:val="lt-LT"/>
        </w:rPr>
        <w:t xml:space="preserve">kad nustatytas aukciono sąlygas ir nurodytą pageidaujamą aukciono pradžios datą </w:t>
      </w:r>
      <w:r>
        <w:rPr>
          <w:rFonts w:ascii="Times New Roman" w:hAnsi="Times New Roman" w:cs="Times New Roman"/>
          <w:color w:val="000000"/>
          <w:sz w:val="24"/>
          <w:szCs w:val="24"/>
          <w:lang w:val="lt-LT"/>
        </w:rPr>
        <w:lastRenderedPageBreak/>
        <w:t>aukciono organizatoriui pateikia sprendimą teikti patikėjimo teise valdomą valstybinės žemės sklypą  nuomoti aukcione priėmęs subjektas. Kai sprendimą išnuomoti valstybinės žemės sklypą priima Žemės įstatymo 7 straipsnio 1 dalies 2 punkte nurodytas valstybinės žemės patikėtinis, aukciono organizatoriui pateikiamas jo darbuotojo, atsakingo už informacijos apie  išnuomojamą aukcione valstybinės žemės sklypą pateikimą, vardas, pavardė, pareigos, telefono numeris ir elektroninio pašto adresas. Įvykus aukcionui, nurodytos aukciono sąlygos tampa valstybinės žemės sklypo nuomos sutarties sąlygomis.</w:t>
      </w:r>
    </w:p>
    <w:p w14:paraId="55B7941C" w14:textId="77777777" w:rsidR="00B65122" w:rsidRDefault="00000000">
      <w:pPr>
        <w:tabs>
          <w:tab w:val="left" w:pos="851"/>
        </w:tabs>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Lietuvos Respublikos Vyriausybės 1999 m. vasario 24 d. nutarimo  Nr. 205 „Dėl žemės įvertinimo tvarkos“ 5.2 papunktyje nurodyta, kad aukcione išnuomojamų naujų kitos pagrindinės žemės naudojimo paskirties valstybinės žemės sklypų pradinis metinis žemės nuomos mokestis apskaičiuojamas pagal savivaldybių tarybų nustatytą valstybinės žemės nuomos mokesčio tarifą, vadovaujantis Nutarimu dėl nuomos mokesčio už valstybinę žemę.</w:t>
      </w:r>
    </w:p>
    <w:p w14:paraId="55B7941D" w14:textId="77777777" w:rsidR="00B65122" w:rsidRDefault="00000000">
      <w:pPr>
        <w:tabs>
          <w:tab w:val="left" w:pos="851"/>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Statybos techninio reglamento STR 1.01.03:2017 „Statinių ir patalpų klasifikavimas“, patvirtinto Lietuvos Respublikos aplinkos ministro 2016 m. spalio 27 d. įsakymu Nr. D1-713 „Dėl statybos techninio reglamento STR 1.01.03:2017 „Statinių klasifikavimas“ patvirtinimo”, 1 priedo 7 punkte yra nurodyta pramonės ir sandėliavimo  pastatų paskirties grupė, kuri apima gamybos, pramonės, energetikos bei sandėliavimo pastatų paskirtis bei šių pastatų paskirties aprašymą ir paaiškinimus.</w:t>
      </w:r>
    </w:p>
    <w:p w14:paraId="55B7941E" w14:textId="77777777" w:rsidR="00B65122" w:rsidRDefault="00000000">
      <w:pPr>
        <w:tabs>
          <w:tab w:val="left" w:pos="851"/>
        </w:tabs>
        <w:spacing w:after="0" w:line="240" w:lineRule="auto"/>
        <w:ind w:firstLine="1247"/>
        <w:jc w:val="both"/>
        <w:rPr>
          <w:rFonts w:ascii="Times New Roman" w:hAnsi="Times New Roman" w:cs="Times New Roman"/>
          <w:sz w:val="24"/>
          <w:szCs w:val="24"/>
          <w:lang w:val="lt-LT"/>
        </w:rPr>
      </w:pPr>
      <w:bookmarkStart w:id="2" w:name="_Hlk187157790"/>
      <w:r>
        <w:rPr>
          <w:rFonts w:ascii="Times New Roman" w:hAnsi="Times New Roman" w:cs="Times New Roman"/>
          <w:sz w:val="24"/>
          <w:szCs w:val="24"/>
          <w:lang w:val="lt-LT"/>
        </w:rPr>
        <w:t xml:space="preserve">Skuodo rajono Mosėdžio miestelio bendrajame plane, patvirtintame 2014 m. sausio 30 d. Skuodo rajono savivaldybės tarybos sprendimu </w:t>
      </w:r>
      <w:bookmarkStart w:id="3" w:name="n_1"/>
      <w:r>
        <w:rPr>
          <w:rFonts w:ascii="Times New Roman" w:hAnsi="Times New Roman" w:cs="Times New Roman"/>
          <w:sz w:val="24"/>
          <w:szCs w:val="24"/>
          <w:lang w:val="lt-LT"/>
        </w:rPr>
        <w:t xml:space="preserve">Nr. T9-4 </w:t>
      </w:r>
      <w:bookmarkEnd w:id="3"/>
      <w:r>
        <w:rPr>
          <w:rFonts w:ascii="Times New Roman" w:hAnsi="Times New Roman" w:cs="Times New Roman"/>
          <w:sz w:val="24"/>
          <w:szCs w:val="24"/>
          <w:lang w:val="lt-LT"/>
        </w:rPr>
        <w:t xml:space="preserve">„Dėl Skuodo rajono Mosėdžio miestelio bendrojo plano patvirtinimo“, </w:t>
      </w:r>
      <w:bookmarkEnd w:id="2"/>
      <w:r>
        <w:rPr>
          <w:rFonts w:ascii="Times New Roman" w:hAnsi="Times New Roman" w:cs="Times New Roman"/>
          <w:sz w:val="24"/>
          <w:szCs w:val="24"/>
          <w:lang w:val="lt-LT"/>
        </w:rPr>
        <w:t>šios teritorijos žemės naudojimo tipas yra  numatytas verslo ir pramonės teritorijai.</w:t>
      </w:r>
    </w:p>
    <w:p w14:paraId="55B7941F" w14:textId="77777777" w:rsidR="00B65122" w:rsidRDefault="00000000">
      <w:pPr>
        <w:tabs>
          <w:tab w:val="left" w:pos="851"/>
        </w:tabs>
        <w:spacing w:after="0" w:line="240" w:lineRule="auto"/>
        <w:ind w:firstLine="1247"/>
        <w:jc w:val="both"/>
        <w:rPr>
          <w:rFonts w:ascii="Times New Roman" w:hAnsi="Times New Roman" w:cs="Times New Roman"/>
          <w:sz w:val="24"/>
          <w:szCs w:val="24"/>
          <w:lang w:val="lt-LT"/>
        </w:rPr>
      </w:pPr>
      <w:bookmarkStart w:id="4" w:name="_Hlk187157615"/>
      <w:r>
        <w:rPr>
          <w:rFonts w:ascii="Times New Roman" w:hAnsi="Times New Roman" w:cs="Times New Roman"/>
          <w:sz w:val="24"/>
          <w:szCs w:val="24"/>
          <w:lang w:val="lt-LT"/>
        </w:rPr>
        <w:t xml:space="preserve">Skuodo rajono savivaldybės tarybos 2024 m. birželio 27 d. sprendimu </w:t>
      </w:r>
      <w:bookmarkStart w:id="5" w:name="n_0"/>
      <w:r>
        <w:rPr>
          <w:rFonts w:ascii="Times New Roman" w:hAnsi="Times New Roman" w:cs="Times New Roman"/>
          <w:sz w:val="24"/>
          <w:szCs w:val="24"/>
          <w:lang w:val="lt-LT"/>
        </w:rPr>
        <w:t xml:space="preserve">Nr. T9-127 </w:t>
      </w:r>
      <w:bookmarkEnd w:id="5"/>
      <w:r>
        <w:rPr>
          <w:rFonts w:ascii="Times New Roman" w:hAnsi="Times New Roman" w:cs="Times New Roman"/>
          <w:sz w:val="24"/>
          <w:szCs w:val="24"/>
          <w:lang w:val="lt-LT"/>
        </w:rPr>
        <w:t>„Dėl žemės nuomos mokesčio už valstybinę žemę tarifų ir lengvatų nustatymo 2024-2025 metais“ patvirtinti  valstybinės žemės nuomos mokesčių tarifai. Už kitos paskirties žemės sklypus, kurių naudojimo būdas yra pramonės ir sandėliavimo objektų žemės sklypai nustatytas 0,5 %</w:t>
      </w:r>
      <w:bookmarkEnd w:id="4"/>
      <w:r>
        <w:rPr>
          <w:rFonts w:ascii="Times New Roman" w:hAnsi="Times New Roman" w:cs="Times New Roman"/>
          <w:sz w:val="24"/>
          <w:szCs w:val="24"/>
          <w:lang w:val="lt-LT"/>
        </w:rPr>
        <w:t xml:space="preserve">  tarifas nuo vidutinės rinkos vertės, apskaičiuotos pagal einamųjų metų sausio 1 d. taikytus žemės verčių žemėlapius. Pagal 2025 m. sausio 1 d.  Registrų centro atliktą masinį vertinimą teikiamo išnuomoti  Žemės sklypo vidutinė rinkos vertė 1610 Eur. Pritaikius 0,5% tarifą, metinis nuomos mokestis 8 Eur. </w:t>
      </w:r>
    </w:p>
    <w:p w14:paraId="55B79420" w14:textId="77777777" w:rsidR="00B65122" w:rsidRDefault="00B65122">
      <w:pPr>
        <w:widowControl w:val="0"/>
        <w:spacing w:after="0" w:line="240" w:lineRule="auto"/>
        <w:ind w:firstLine="1247"/>
        <w:jc w:val="both"/>
        <w:rPr>
          <w:rFonts w:ascii="Times New Roman" w:hAnsi="Times New Roman" w:cs="Times New Roman"/>
          <w:b/>
          <w:sz w:val="24"/>
          <w:szCs w:val="24"/>
          <w:lang w:val="lt-LT"/>
        </w:rPr>
      </w:pPr>
    </w:p>
    <w:p w14:paraId="55B79421" w14:textId="77777777" w:rsidR="00B65122"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5B79422" w14:textId="77777777" w:rsidR="00B65122"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Priėmus sprendimą teikti atvirojo aukciono būdu išnuomoti Žemės sklypą, bus sudaryta galimybė kurtis naujam verslui arba plėstis esamam, bus surenkamas žemės nuomos mokestis į Skuodo rajono savivaldybės biudžetą.</w:t>
      </w:r>
    </w:p>
    <w:p w14:paraId="55B79423" w14:textId="77777777" w:rsidR="00B65122" w:rsidRDefault="00B65122">
      <w:pPr>
        <w:spacing w:after="0" w:line="240" w:lineRule="auto"/>
        <w:ind w:firstLine="1247"/>
        <w:jc w:val="both"/>
        <w:rPr>
          <w:rFonts w:ascii="Times New Roman" w:hAnsi="Times New Roman" w:cs="Times New Roman"/>
          <w:sz w:val="24"/>
          <w:szCs w:val="24"/>
          <w:lang w:val="lt-LT" w:eastAsia="lt-LT"/>
        </w:rPr>
      </w:pPr>
    </w:p>
    <w:p w14:paraId="55B79424" w14:textId="77777777" w:rsidR="00B65122"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55B79425" w14:textId="77777777" w:rsidR="00B65122"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Savivaldybės biudžeto lėšos bus reikalingos aukciono vykdymo mokesčiui sumokėti.</w:t>
      </w:r>
    </w:p>
    <w:p w14:paraId="55B79426" w14:textId="77777777" w:rsidR="00B65122" w:rsidRDefault="00B65122">
      <w:pPr>
        <w:spacing w:after="0" w:line="240" w:lineRule="auto"/>
        <w:ind w:firstLine="1247"/>
        <w:rPr>
          <w:rFonts w:ascii="Times New Roman" w:eastAsia="Times New Roman" w:hAnsi="Times New Roman" w:cs="Times New Roman"/>
          <w:b/>
          <w:sz w:val="24"/>
          <w:szCs w:val="24"/>
          <w:lang w:val="lt-LT"/>
        </w:rPr>
      </w:pPr>
    </w:p>
    <w:p w14:paraId="55B79427" w14:textId="77777777" w:rsidR="00B65122"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55B79428" w14:textId="77777777" w:rsidR="00B65122"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55B79429" w14:textId="77777777" w:rsidR="00B65122"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B65122">
      <w:headerReference w:type="even" r:id="rId7"/>
      <w:headerReference w:type="default" r:id="rId8"/>
      <w:headerReference w:type="first" r:id="rId9"/>
      <w:pgSz w:w="11906" w:h="16838"/>
      <w:pgMar w:top="1134" w:right="567" w:bottom="567" w:left="1701" w:header="567" w:footer="0" w:gutter="0"/>
      <w:cols w:space="1296"/>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1EF30" w14:textId="77777777" w:rsidR="001302EE" w:rsidRDefault="001302EE">
      <w:pPr>
        <w:spacing w:after="0" w:line="240" w:lineRule="auto"/>
      </w:pPr>
      <w:r>
        <w:separator/>
      </w:r>
    </w:p>
  </w:endnote>
  <w:endnote w:type="continuationSeparator" w:id="0">
    <w:p w14:paraId="43F53CAF" w14:textId="77777777" w:rsidR="001302EE" w:rsidRDefault="00130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swiss"/>
    <w:pitch w:val="variable"/>
  </w:font>
  <w:font w:name="Linux Libertine G">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41242" w14:textId="77777777" w:rsidR="001302EE" w:rsidRDefault="001302EE">
      <w:pPr>
        <w:spacing w:after="0" w:line="240" w:lineRule="auto"/>
      </w:pPr>
      <w:r>
        <w:separator/>
      </w:r>
    </w:p>
  </w:footnote>
  <w:footnote w:type="continuationSeparator" w:id="0">
    <w:p w14:paraId="5FF5D4DC" w14:textId="77777777" w:rsidR="001302EE" w:rsidRDefault="00130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7942A" w14:textId="77777777" w:rsidR="00B65122" w:rsidRDefault="00B6512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5B7942B" w14:textId="77777777" w:rsidR="00B65122" w:rsidRDefault="00000000">
        <w:pPr>
          <w:pStyle w:val="Antrats"/>
          <w:jc w:val="center"/>
        </w:pPr>
        <w:r>
          <w:fldChar w:fldCharType="begin"/>
        </w:r>
        <w:r>
          <w:instrText xml:space="preserve"> PAGE </w:instrText>
        </w:r>
        <w:r>
          <w:fldChar w:fldCharType="separate"/>
        </w:r>
        <w:r>
          <w:t>2</w:t>
        </w:r>
        <w:r>
          <w:fldChar w:fldCharType="end"/>
        </w:r>
      </w:p>
    </w:sdtContent>
  </w:sdt>
  <w:p w14:paraId="55B7942C" w14:textId="77777777" w:rsidR="00B65122" w:rsidRDefault="00B6512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7942D" w14:textId="77777777" w:rsidR="00B65122" w:rsidRDefault="00B65122">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122"/>
    <w:rsid w:val="001302EE"/>
    <w:rsid w:val="004F1A38"/>
    <w:rsid w:val="00AC6BEE"/>
    <w:rsid w:val="00B65122"/>
    <w:rsid w:val="00DC5547"/>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7940A"/>
  <w15:docId w15:val="{03509AD8-8502-49C8-9C80-7B50BA19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styleId="Hipersaitas">
    <w:name w:val="Hyperlink"/>
    <w:uiPriority w:val="99"/>
    <w:unhideWhenUsed/>
    <w:rPr>
      <w:color w:val="0563C1" w:themeColor="hyperlink"/>
      <w:u w:val="single"/>
    </w:rPr>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style>
  <w:style w:type="character" w:customStyle="1" w:styleId="DebesliotekstasDiagrama">
    <w:name w:val="Debesėlio tekstas Diagrama"/>
    <w:basedOn w:val="Numatytasispastraiposriftas"/>
    <w:link w:val="Debesliotekstas"/>
    <w:uiPriority w:val="99"/>
    <w:semiHidden/>
    <w:qFormat/>
    <w:rPr>
      <w:rFonts w:ascii="Segoe UI" w:hAnsi="Segoe UI" w:cs="Segoe UI"/>
      <w:sz w:val="18"/>
      <w:szCs w:val="18"/>
    </w:rPr>
  </w:style>
  <w:style w:type="character" w:customStyle="1" w:styleId="PoratDiagrama">
    <w:name w:val="Poraštė Diagrama"/>
    <w:basedOn w:val="Numatytasispastraiposriftas"/>
    <w:link w:val="Porat"/>
    <w:uiPriority w:val="99"/>
    <w:qFormat/>
  </w:style>
  <w:style w:type="character" w:customStyle="1" w:styleId="clear">
    <w:name w:val="clear"/>
    <w:basedOn w:val="Numatytasispastraiposriftas"/>
    <w:qFormat/>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paragraph" w:customStyle="1" w:styleId="Index">
    <w:name w:val="Index"/>
    <w:basedOn w:val="prastasis"/>
    <w:qFormat/>
    <w:pPr>
      <w:suppressLineNumbers/>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160" w:line="259" w:lineRule="auto"/>
    </w:pPr>
  </w:style>
  <w:style w:type="paragraph" w:styleId="Iliustracijsraas">
    <w:name w:val="table of figures"/>
    <w:basedOn w:val="prastasis"/>
    <w:next w:val="prastasis"/>
    <w:uiPriority w:val="99"/>
    <w:unhideWhenUsed/>
    <w:pPr>
      <w:spacing w:after="0"/>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986"/>
        <w:tab w:val="right" w:pos="9972"/>
      </w:tabs>
      <w:spacing w:after="0" w:line="240" w:lineRule="auto"/>
    </w:pPr>
  </w:style>
  <w:style w:type="paragraph" w:styleId="Sraopastraipa">
    <w:name w:val="List Paragraph"/>
    <w:basedOn w:val="prastasis"/>
    <w:uiPriority w:val="34"/>
    <w:qFormat/>
    <w:pPr>
      <w:ind w:left="720"/>
      <w:contextualSpacing/>
    </w:pPr>
  </w:style>
  <w:style w:type="paragraph" w:styleId="Pataisymai">
    <w:name w:val="Revision"/>
    <w:uiPriority w:val="99"/>
    <w:semiHidden/>
    <w:qFormat/>
  </w:style>
  <w:style w:type="paragraph" w:styleId="Debesliotekstas">
    <w:name w:val="Balloon Text"/>
    <w:basedOn w:val="prastasis"/>
    <w:link w:val="DebesliotekstasDiagrama"/>
    <w:uiPriority w:val="99"/>
    <w:semiHidden/>
    <w:unhideWhenUsed/>
    <w:qFormat/>
    <w:pPr>
      <w:spacing w:after="0" w:line="240" w:lineRule="auto"/>
    </w:pPr>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rPr>
      <w:tblPr/>
      <w:tcPr>
        <w:tcBorders>
          <w:bottom w:val="single" w:sz="12" w:space="0" w:color="4472C4"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rPr>
      <w:tblPr/>
      <w:tcPr>
        <w:tcBorders>
          <w:bottom w:val="single" w:sz="12" w:space="0" w:color="5B9BD5"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single" w:sz="12" w:space="0" w:color="4472C4" w:themeColor="accent1"/>
          <w:right w:val="none" w:sz="4" w:space="0" w:color="000000"/>
        </w:tcBorders>
        <w:shd w:val="clear" w:color="FFFFFF" w:fill="auto"/>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rPr>
      <w:tblPr/>
      <w:tcPr>
        <w:tcBorders>
          <w:top w:val="single" w:sz="4" w:space="0" w:color="4472C4" w:themeColor="accent1"/>
        </w:tcBorders>
      </w:tcPr>
    </w:tblStylePr>
    <w:tblStylePr w:type="firstCol">
      <w:rPr>
        <w:b/>
      </w:rPr>
    </w:tblStylePr>
    <w:tblStylePr w:type="lastCol">
      <w:rPr>
        <w:b/>
      </w:r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rPr>
      <w:tblPr/>
      <w:tcPr>
        <w:tcBorders>
          <w:top w:val="single" w:sz="4" w:space="0" w:color="5B9BD5" w:themeColor="accent5"/>
        </w:tcBorders>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1"/>
      </w:tcPr>
    </w:tblStylePr>
    <w:tblStylePr w:type="lastRow">
      <w:rPr>
        <w:b/>
        <w:sz w:val="22"/>
      </w:rPr>
      <w:tblPr/>
      <w:tcPr>
        <w:tcBorders>
          <w:top w:val="single" w:sz="4" w:space="0" w:color="FFFFFF" w:themeColor="light1"/>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5"/>
      </w:tcPr>
    </w:tblStylePr>
    <w:tblStylePr w:type="lastRow">
      <w:rPr>
        <w:b/>
        <w:sz w:val="22"/>
      </w:rPr>
      <w:tblPr/>
      <w:tcPr>
        <w:tcBorders>
          <w:top w:val="single" w:sz="4" w:space="0" w:color="FFFFFF" w:themeColor="light1"/>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1"/>
          <w:right w:val="single" w:sz="4" w:space="0" w:color="4472C4" w:themeColor="accent1"/>
        </w:tcBorders>
      </w:tcPr>
    </w:tblStylePr>
    <w:tblStylePr w:type="band1Horz">
      <w:rPr>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sz w:val="22"/>
      </w:rPr>
      <w:tblPr/>
      <w:tcPr>
        <w:shd w:val="clear" w:color="9BC2E5" w:fill="9BC2E5"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5"/>
          <w:right w:val="single" w:sz="4" w:space="0" w:color="5B9BD5" w:themeColor="accent5"/>
        </w:tcBorders>
      </w:tcPr>
    </w:tblStylePr>
    <w:tblStylePr w:type="band1Horz">
      <w:rPr>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sz w:val="22"/>
      </w:rPr>
      <w:tblPr/>
      <w:tcPr>
        <w:shd w:val="clear" w:color="5B9BD5" w:fill="5B9BD5" w:themeFill="accent5"/>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prastojilentel"/>
    <w:uiPriority w:val="99"/>
    <w:rPr>
      <w:sz w:val="20"/>
      <w:szCs w:val="20"/>
      <w:lang w:val="lt-LT"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val="lt-LT" w:eastAsia="lt-LT"/>
    </w:rPr>
    <w:tblPr>
      <w:tblStyleRowBandSize w:val="1"/>
      <w:tblStyleColBandSize w:val="1"/>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Lined-Accent2">
    <w:name w:val="Lined - Accent 2"/>
    <w:basedOn w:val="prastojilentel"/>
    <w:uiPriority w:val="99"/>
    <w:rPr>
      <w:sz w:val="20"/>
      <w:szCs w:val="20"/>
      <w:lang w:val="lt-LT" w:eastAsia="lt-LT"/>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prastojilentel"/>
    <w:uiPriority w:val="99"/>
    <w:rPr>
      <w:sz w:val="20"/>
      <w:szCs w:val="20"/>
      <w:lang w:val="lt-LT" w:eastAsia="lt-LT"/>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prastojilentel"/>
    <w:uiPriority w:val="99"/>
    <w:rPr>
      <w:sz w:val="20"/>
      <w:szCs w:val="20"/>
      <w:lang w:val="lt-LT" w:eastAsia="lt-LT"/>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prastojilentel"/>
    <w:uiPriority w:val="99"/>
    <w:rPr>
      <w:sz w:val="20"/>
      <w:szCs w:val="20"/>
      <w:lang w:val="lt-LT" w:eastAsia="lt-LT"/>
    </w:rPr>
    <w:tblPr>
      <w:tblStyleRowBandSize w:val="1"/>
      <w:tblStyleColBandSize w:val="1"/>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Lined-Accent6">
    <w:name w:val="Lined - Accent 6"/>
    <w:basedOn w:val="prastojilentel"/>
    <w:uiPriority w:val="99"/>
    <w:rPr>
      <w:sz w:val="20"/>
      <w:szCs w:val="20"/>
      <w:lang w:val="lt-LT" w:eastAsia="lt-LT"/>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prastojilentel"/>
    <w:uiPriority w:val="99"/>
    <w:rPr>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val="lt-LT" w:eastAsia="lt-LT"/>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BorderedLined-Accent2">
    <w:name w:val="Bordered &amp; Lined - Accent 2"/>
    <w:basedOn w:val="prastojilentel"/>
    <w:uiPriority w:val="99"/>
    <w:rPr>
      <w:sz w:val="20"/>
      <w:szCs w:val="20"/>
      <w:lang w:val="lt-LT" w:eastAsia="lt-LT"/>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prastojilentel"/>
    <w:uiPriority w:val="99"/>
    <w:rPr>
      <w:sz w:val="20"/>
      <w:szCs w:val="20"/>
      <w:lang w:val="lt-LT" w:eastAsia="lt-LT"/>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prastojilentel"/>
    <w:uiPriority w:val="99"/>
    <w:rPr>
      <w:sz w:val="20"/>
      <w:szCs w:val="20"/>
      <w:lang w:val="lt-LT" w:eastAsia="lt-LT"/>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prastojilentel"/>
    <w:uiPriority w:val="99"/>
    <w:rPr>
      <w:sz w:val="20"/>
      <w:szCs w:val="20"/>
      <w:lang w:val="lt-LT" w:eastAsia="lt-LT"/>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BorderedLined-Accent6">
    <w:name w:val="Bordered &amp; Lined - Accent 6"/>
    <w:basedOn w:val="prastojilentel"/>
    <w:uiPriority w:val="99"/>
    <w:rPr>
      <w:sz w:val="20"/>
      <w:szCs w:val="20"/>
      <w:lang w:val="lt-LT"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sz w:val="22"/>
      </w:rPr>
      <w:tblPr/>
      <w:tcPr>
        <w:tcBorders>
          <w:bottom w:val="single" w:sz="12" w:space="0" w:color="4472C4" w:themeColor="accent1"/>
        </w:tcBorders>
      </w:tcPr>
    </w:tblStylePr>
    <w:tblStylePr w:type="lastRow">
      <w:rPr>
        <w:sz w:val="22"/>
      </w:rPr>
      <w:tblPr/>
      <w:tcPr>
        <w:tcBorders>
          <w:top w:val="single" w:sz="12" w:space="0" w:color="4472C4" w:themeColor="accent1"/>
        </w:tcBorders>
      </w:tcPr>
    </w:tblStylePr>
    <w:tblStylePr w:type="firstCol">
      <w:rPr>
        <w:sz w:val="22"/>
      </w:rPr>
    </w:tblStylePr>
    <w:tblStylePr w:type="lastCol">
      <w:rPr>
        <w:sz w:val="22"/>
      </w:rPr>
      <w:tblPr/>
      <w:tcPr>
        <w:tcBorders>
          <w:left w:val="single" w:sz="12" w:space="0" w:color="4472C4" w:themeColor="accent1"/>
        </w:tcBorders>
      </w:tc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sz w:val="22"/>
      </w:rPr>
      <w:tblPr/>
      <w:tcPr>
        <w:tcBorders>
          <w:bottom w:val="single" w:sz="12" w:space="0" w:color="5B9BD5" w:themeColor="accent5"/>
        </w:tcBorders>
      </w:tcPr>
    </w:tblStylePr>
    <w:tblStylePr w:type="lastRow">
      <w:rPr>
        <w:sz w:val="22"/>
      </w:rPr>
      <w:tblPr/>
      <w:tcPr>
        <w:tcBorders>
          <w:top w:val="single" w:sz="12" w:space="0" w:color="5B9BD5" w:themeColor="accent5"/>
        </w:tcBorders>
      </w:tcPr>
    </w:tblStylePr>
    <w:tblStylePr w:type="firstCol">
      <w:rPr>
        <w:sz w:val="22"/>
      </w:rPr>
    </w:tblStylePr>
    <w:tblStylePr w:type="lastCol">
      <w:rPr>
        <w:sz w:val="22"/>
      </w:rPr>
      <w:tblPr/>
      <w:tcPr>
        <w:tcBorders>
          <w:left w:val="single" w:sz="12" w:space="0" w:color="5B9BD5" w:themeColor="accent5"/>
        </w:tcBorders>
      </w:tc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4512</Words>
  <Characters>2572</Characters>
  <Application>Microsoft Office Word</Application>
  <DocSecurity>0</DocSecurity>
  <Lines>21</Lines>
  <Paragraphs>14</Paragraphs>
  <ScaleCrop>false</ScaleCrop>
  <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2025-04-09T10:02:00Z</dcterms:created>
  <dcterms:modified xsi:type="dcterms:W3CDTF">2025-04-09T10:03:00Z</dcterms:modified>
  <dc:language>lt-LT</dc:language>
</cp:coreProperties>
</file>